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1" w:type="dxa"/>
        <w:tblInd w:w="-90" w:type="dxa"/>
        <w:tblLook w:val="04A0" w:firstRow="1" w:lastRow="0" w:firstColumn="1" w:lastColumn="0" w:noHBand="0" w:noVBand="1"/>
      </w:tblPr>
      <w:tblGrid>
        <w:gridCol w:w="4820"/>
        <w:gridCol w:w="5301"/>
      </w:tblGrid>
      <w:tr w:rsidR="005A4D3E" w:rsidRPr="005A4D3E" w:rsidTr="00142478">
        <w:tc>
          <w:tcPr>
            <w:tcW w:w="4820" w:type="dxa"/>
            <w:hideMark/>
          </w:tcPr>
          <w:p w:rsidR="005A4D3E" w:rsidRPr="00142478" w:rsidRDefault="008B6D12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UBND QUẬN</w:t>
            </w:r>
            <w:r w:rsidR="005A4D3E" w:rsidRPr="0014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LONG BIÊN</w:t>
            </w:r>
          </w:p>
          <w:p w:rsidR="005A4D3E" w:rsidRPr="00142478" w:rsidRDefault="005A4D3E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TRƯỜNG </w:t>
            </w:r>
            <w:r w:rsidR="00861E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MẦM NON TUỔI HOA </w:t>
            </w:r>
          </w:p>
          <w:p w:rsidR="008871ED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424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8BC6C" wp14:editId="0FE1309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34290</wp:posOffset>
                      </wp:positionV>
                      <wp:extent cx="1295400" cy="0"/>
                      <wp:effectExtent l="0" t="0" r="19050" b="1905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5.7pt;margin-top:2.7pt;width:10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/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ZSH8QzGFRBVqZ0NDdKTejHPmn53SOmqI6rlMfj1bCA3CxnJm5RwcQaK7IfPmkEMAfw4&#10;q1Nj+wAJU0CnKMn5Jgk/eUThYzZdzvI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"/>
                  </w:pict>
                </mc:Fallback>
              </mc:AlternateContent>
            </w:r>
          </w:p>
          <w:p w:rsidR="008871ED" w:rsidRPr="008871ED" w:rsidRDefault="008871ED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4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      /QĐ-MN</w:t>
            </w:r>
            <w:r w:rsidR="00861E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5301" w:type="dxa"/>
          </w:tcPr>
          <w:p w:rsidR="005A4D3E" w:rsidRPr="005A4D3E" w:rsidRDefault="005A4D3E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A4D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CỘNG HOÀ XÃ HỘI CHỦ NGHĨA VIỆT NAM</w:t>
            </w:r>
          </w:p>
          <w:p w:rsidR="005A4D3E" w:rsidRPr="00142478" w:rsidRDefault="005A4D3E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5A4D3E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4247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11AA8E" wp14:editId="39C8FA8B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51435</wp:posOffset>
                      </wp:positionV>
                      <wp:extent cx="2009775" cy="0"/>
                      <wp:effectExtent l="0" t="0" r="9525" b="1905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46.65pt;margin-top:4.05pt;width:158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8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N4xmMKyCqUlsbGqRH9WqeNf3ukNJVR1TLY/DbyUBuFjKSdynh4gwU2Q1fNIMYAvhx&#10;VsfG9gESpoCOUZLTTRJ+9IjCR9B48fAA3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"/>
                  </w:pict>
                </mc:Fallback>
              </mc:AlternateContent>
            </w:r>
          </w:p>
          <w:p w:rsidR="005A4D3E" w:rsidRPr="005A4D3E" w:rsidRDefault="005A4D3E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Long </w:t>
            </w:r>
            <w:proofErr w:type="spellStart"/>
            <w:r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Biên</w:t>
            </w:r>
            <w:proofErr w:type="spellEnd"/>
            <w:r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8B6D12"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854CFC"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="00854CFC"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="00854CFC"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</w:t>
            </w:r>
            <w:r w:rsidR="002919E6" w:rsidRPr="0014247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</w:tbl>
    <w:p w:rsidR="005A4D3E" w:rsidRDefault="005A4D3E" w:rsidP="0014247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D3E" w:rsidRPr="005A4D3E" w:rsidRDefault="005A4D3E" w:rsidP="0014247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D3E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5A4D3E" w:rsidRDefault="005A4D3E" w:rsidP="0014247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4D3E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>ề</w:t>
      </w:r>
      <w:proofErr w:type="spellEnd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spellEnd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>q</w:t>
      </w:r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>uy</w:t>
      </w:r>
      <w:proofErr w:type="spellEnd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proofErr w:type="spellEnd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>quản</w:t>
      </w:r>
      <w:proofErr w:type="spellEnd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>quỹ</w:t>
      </w:r>
      <w:proofErr w:type="spellEnd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5614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>húc</w:t>
      </w:r>
      <w:proofErr w:type="spellEnd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4E6F">
        <w:rPr>
          <w:rFonts w:ascii="Times New Roman" w:eastAsia="Times New Roman" w:hAnsi="Times New Roman" w:cs="Times New Roman"/>
          <w:b/>
          <w:bCs/>
          <w:sz w:val="28"/>
          <w:szCs w:val="28"/>
        </w:rPr>
        <w:t>lợi</w:t>
      </w:r>
      <w:proofErr w:type="spellEnd"/>
      <w:r w:rsidRPr="005A4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4D3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A4D3E" w:rsidRDefault="005A4D3E" w:rsidP="00142478">
      <w:pPr>
        <w:spacing w:after="0" w:line="288" w:lineRule="auto"/>
        <w:ind w:firstLine="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HIỆU TRƯỞNG TRƯỜNG MẦM NON </w:t>
      </w:r>
      <w:r w:rsidR="00861E1B">
        <w:rPr>
          <w:rFonts w:ascii="Times New Roman" w:eastAsia="Times New Roman" w:hAnsi="Times New Roman" w:cs="Times New Roman"/>
          <w:sz w:val="28"/>
          <w:szCs w:val="28"/>
        </w:rPr>
        <w:t xml:space="preserve">TUỔI HOA </w:t>
      </w:r>
    </w:p>
    <w:p w:rsidR="006802DF" w:rsidRDefault="006802DF" w:rsidP="00142478">
      <w:pPr>
        <w:spacing w:after="0" w:line="288" w:lineRule="auto"/>
        <w:ind w:firstLine="37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06B" w:rsidRPr="007821D5" w:rsidRDefault="00DF206B" w:rsidP="0014247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Căn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cứ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Nghị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định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số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60/2021/NĐ-CP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21/6/2021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Chính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phủ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quy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định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chế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tự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chủ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tài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chính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đơn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vị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sự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nghiệp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lập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</w:p>
    <w:p w:rsidR="00DF206B" w:rsidRPr="007821D5" w:rsidRDefault="00DF206B" w:rsidP="0014247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Căn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cứ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vào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quyết</w:t>
      </w:r>
      <w:proofErr w:type="spellEnd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định</w:t>
      </w:r>
      <w:proofErr w:type="spellEnd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số</w:t>
      </w:r>
      <w:proofErr w:type="spellEnd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5502/QĐ-UBND </w:t>
      </w:r>
      <w:proofErr w:type="spellStart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16 </w:t>
      </w:r>
      <w:proofErr w:type="spellStart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8 </w:t>
      </w:r>
      <w:proofErr w:type="spellStart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6E75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2013</w:t>
      </w:r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UBND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quận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Long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Biên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về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hành</w:t>
      </w:r>
      <w:proofErr w:type="spellEnd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lập</w:t>
      </w:r>
      <w:proofErr w:type="spellEnd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trường</w:t>
      </w:r>
      <w:proofErr w:type="spellEnd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mầm</w:t>
      </w:r>
      <w:proofErr w:type="spellEnd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non </w:t>
      </w:r>
      <w:proofErr w:type="spellStart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Tuổi</w:t>
      </w:r>
      <w:proofErr w:type="spellEnd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Hoa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D904A2" w:rsidRPr="007821D5" w:rsidRDefault="00D904A2" w:rsidP="0014247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Căn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cứ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quyết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định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số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8699/QĐ-UBND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20/12/2021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UBND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quận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Long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Biên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về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giao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chỉ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tiêu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kế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hoạch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kinh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tế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xã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hội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Dự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toán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thu</w:t>
      </w:r>
      <w:proofErr w:type="spellEnd"/>
      <w:proofErr w:type="gram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chi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ngân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sách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782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2022;</w:t>
      </w:r>
      <w:bookmarkStart w:id="0" w:name="_GoBack"/>
      <w:bookmarkEnd w:id="0"/>
    </w:p>
    <w:p w:rsidR="00D904A2" w:rsidRPr="00617617" w:rsidRDefault="00D904A2" w:rsidP="0014247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Căn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cứ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quyết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định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384/QĐ-UBND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ngày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20/01/2022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UBND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quận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Long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Biên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về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việc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giao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chỉ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tiêu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biên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chế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202</w:t>
      </w:r>
      <w:r w:rsidR="00983605"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</w:t>
      </w:r>
      <w:r w:rsidRPr="006176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D904A2" w:rsidRPr="00FF5BAD" w:rsidRDefault="00FF5BAD" w:rsidP="0014247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proofErr w:type="spellEnd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proofErr w:type="spellEnd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>quyết</w:t>
      </w:r>
      <w:proofErr w:type="spellEnd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proofErr w:type="spellEnd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3617/QĐ-UBND </w:t>
      </w:r>
      <w:proofErr w:type="spellStart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23/08/2023</w:t>
      </w:r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UBND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quận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Long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Biên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việc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giao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quyền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tự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chủ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tự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chịu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trách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nhiệm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tài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chính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đối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đơn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vị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sự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nghiệp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công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lập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thuộc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quận</w:t>
      </w:r>
      <w:proofErr w:type="spellEnd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Long </w:t>
      </w:r>
      <w:proofErr w:type="spellStart"/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Biê</w:t>
      </w:r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Pr="00FF5BAD">
        <w:rPr>
          <w:rFonts w:ascii="Times New Roman" w:eastAsia="Times New Roman" w:hAnsi="Times New Roman" w:cs="Times New Roman"/>
          <w:i/>
          <w:sz w:val="28"/>
          <w:szCs w:val="28"/>
        </w:rPr>
        <w:t xml:space="preserve"> 2023</w:t>
      </w:r>
      <w:r w:rsidR="00D904A2" w:rsidRPr="00FF5BA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5A4D3E" w:rsidRPr="007821D5" w:rsidRDefault="007F3404" w:rsidP="0014247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782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Căn</w:t>
      </w:r>
      <w:proofErr w:type="spellEnd"/>
      <w:r w:rsidRPr="00782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782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82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tì</w:t>
      </w:r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</w:t>
      </w:r>
      <w:proofErr w:type="spellEnd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hình</w:t>
      </w:r>
      <w:proofErr w:type="spellEnd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tế</w:t>
      </w:r>
      <w:proofErr w:type="spellEnd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Mầm</w:t>
      </w:r>
      <w:proofErr w:type="spellEnd"/>
      <w:r w:rsidR="00414E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</w:t>
      </w:r>
      <w:r w:rsidRPr="00782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on </w:t>
      </w:r>
      <w:proofErr w:type="spellStart"/>
      <w:r w:rsidR="00861E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Tuổi</w:t>
      </w:r>
      <w:proofErr w:type="spellEnd"/>
      <w:r w:rsidR="00861E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61E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Hoa</w:t>
      </w:r>
      <w:proofErr w:type="spellEnd"/>
      <w:r w:rsidR="00861E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821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;</w:t>
      </w:r>
      <w:proofErr w:type="gramEnd"/>
    </w:p>
    <w:p w:rsidR="005A4D3E" w:rsidRPr="005A4D3E" w:rsidRDefault="005A4D3E" w:rsidP="0014247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A4D3E" w:rsidRDefault="005A4D3E" w:rsidP="0014247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A4D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QUYẾT ĐỊNH:</w:t>
      </w:r>
    </w:p>
    <w:p w:rsidR="005A4D3E" w:rsidRPr="005A4D3E" w:rsidRDefault="005A4D3E" w:rsidP="0014247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A4D3E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5A4D3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5A4D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Nay ban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D3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4F0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A1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4F0A1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4F0A1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4F0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A1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4F0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A1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4F0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A1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4F0A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F0A1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4F0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A1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4F0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A15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5A4D3E">
        <w:rPr>
          <w:rFonts w:ascii="Times New Roman" w:eastAsia="Times New Roman" w:hAnsi="Times New Roman" w:cs="Times New Roman"/>
          <w:sz w:val="28"/>
          <w:szCs w:val="28"/>
        </w:rPr>
        <w:t>uỹ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A15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Pr="005A4D3E">
        <w:rPr>
          <w:rFonts w:ascii="Times New Roman" w:eastAsia="Times New Roman" w:hAnsi="Times New Roman" w:cs="Times New Roman"/>
          <w:bCs/>
          <w:sz w:val="28"/>
          <w:szCs w:val="28"/>
        </w:rPr>
        <w:t>húc</w:t>
      </w:r>
      <w:proofErr w:type="spellEnd"/>
      <w:r w:rsidRPr="005A4D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bCs/>
          <w:sz w:val="28"/>
          <w:szCs w:val="28"/>
        </w:rPr>
        <w:t>lợi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="00861E1B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="00861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E1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D3E" w:rsidRPr="005A4D3E" w:rsidRDefault="005A4D3E" w:rsidP="0014247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proofErr w:type="gramStart"/>
      <w:r w:rsidRPr="005A4D3E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5A4D3E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5A4D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D3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Quyết định này có hiệu lực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D3E">
        <w:rPr>
          <w:rFonts w:ascii="Times New Roman" w:eastAsia="Times New Roman" w:hAnsi="Times New Roman" w:cs="Times New Roman"/>
          <w:sz w:val="28"/>
          <w:szCs w:val="28"/>
          <w:lang w:val="vi-VN"/>
        </w:rPr>
        <w:t>từ ngày ký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D3E" w:rsidRPr="005A4D3E" w:rsidRDefault="005A4D3E" w:rsidP="0014247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A4D3E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5A4D3E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proofErr w:type="gram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02DF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6802DF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="0068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02D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68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02D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68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02DF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="006802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5A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D3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proofErr w:type="gramStart"/>
      <w:r w:rsidRPr="005A4D3E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5A4D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E8E" w:rsidRDefault="00414E8E" w:rsidP="004E0EC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06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"/>
        <w:gridCol w:w="3970"/>
        <w:gridCol w:w="425"/>
        <w:gridCol w:w="4819"/>
        <w:gridCol w:w="425"/>
      </w:tblGrid>
      <w:tr w:rsidR="00414E8E" w:rsidRPr="00100870" w:rsidTr="00414E8E">
        <w:trPr>
          <w:gridBefore w:val="1"/>
          <w:wBefore w:w="425" w:type="dxa"/>
          <w:trHeight w:val="899"/>
        </w:trPr>
        <w:tc>
          <w:tcPr>
            <w:tcW w:w="4395" w:type="dxa"/>
            <w:gridSpan w:val="2"/>
          </w:tcPr>
          <w:p w:rsidR="00414E8E" w:rsidRPr="00142478" w:rsidRDefault="00414E8E" w:rsidP="00ED2AED">
            <w:pPr>
              <w:rPr>
                <w:i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142478">
              <w:rPr>
                <w:b/>
                <w:bCs/>
                <w:i/>
                <w:color w:val="000000" w:themeColor="text1"/>
                <w:sz w:val="24"/>
                <w:szCs w:val="24"/>
                <w:lang w:val="nl-NL"/>
              </w:rPr>
              <w:t>Nơi nhận</w:t>
            </w:r>
            <w:r w:rsidRPr="00142478">
              <w:rPr>
                <w:i/>
                <w:color w:val="000000" w:themeColor="text1"/>
                <w:sz w:val="24"/>
                <w:szCs w:val="24"/>
                <w:lang w:val="nl-NL"/>
              </w:rPr>
              <w:t>:</w:t>
            </w:r>
          </w:p>
          <w:p w:rsidR="00414E8E" w:rsidRPr="00142478" w:rsidRDefault="00414E8E" w:rsidP="00ED2AED">
            <w:pPr>
              <w:rPr>
                <w:color w:val="000000" w:themeColor="text1"/>
                <w:sz w:val="22"/>
                <w:szCs w:val="22"/>
                <w:lang w:val="nl-NL"/>
              </w:rPr>
            </w:pPr>
            <w:r w:rsidRPr="00142478">
              <w:rPr>
                <w:color w:val="000000" w:themeColor="text1"/>
                <w:sz w:val="22"/>
                <w:szCs w:val="22"/>
                <w:lang w:val="nl-NL"/>
              </w:rPr>
              <w:t>- Như điều 3;</w:t>
            </w:r>
          </w:p>
          <w:p w:rsidR="00414E8E" w:rsidRPr="00100870" w:rsidRDefault="00414E8E" w:rsidP="00ED2AED">
            <w:pPr>
              <w:rPr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142478">
              <w:rPr>
                <w:color w:val="000000" w:themeColor="text1"/>
                <w:sz w:val="22"/>
                <w:szCs w:val="22"/>
                <w:lang w:val="nl-NL"/>
              </w:rPr>
              <w:t>- L</w:t>
            </w:r>
            <w:r w:rsidRPr="00142478">
              <w:rPr>
                <w:color w:val="000000" w:themeColor="text1"/>
                <w:sz w:val="22"/>
                <w:szCs w:val="22"/>
                <w:lang w:val="nl-NL"/>
              </w:rPr>
              <w:softHyphen/>
              <w:t>ưu VP.</w:t>
            </w:r>
          </w:p>
        </w:tc>
        <w:tc>
          <w:tcPr>
            <w:tcW w:w="5244" w:type="dxa"/>
            <w:gridSpan w:val="2"/>
          </w:tcPr>
          <w:p w:rsidR="00414E8E" w:rsidRPr="00100870" w:rsidRDefault="00414E8E" w:rsidP="00414E8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4"/>
                <w:lang w:val="nl-NL"/>
              </w:rPr>
            </w:pPr>
            <w:r w:rsidRPr="00100870">
              <w:rPr>
                <w:b/>
                <w:bCs/>
                <w:color w:val="000000" w:themeColor="text1"/>
                <w:sz w:val="26"/>
                <w:szCs w:val="24"/>
                <w:lang w:val="nl-NL"/>
              </w:rPr>
              <w:t>HIỆU TRƯỞNG</w:t>
            </w:r>
          </w:p>
          <w:p w:rsidR="00414E8E" w:rsidRPr="00100870" w:rsidRDefault="00414E8E" w:rsidP="00414E8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4"/>
                <w:lang w:val="nl-NL"/>
              </w:rPr>
            </w:pPr>
          </w:p>
          <w:p w:rsidR="00414E8E" w:rsidRPr="00100870" w:rsidRDefault="00414E8E" w:rsidP="00414E8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4"/>
                <w:lang w:val="nl-NL"/>
              </w:rPr>
            </w:pPr>
          </w:p>
          <w:p w:rsidR="00414E8E" w:rsidRPr="00100870" w:rsidRDefault="00861E1B" w:rsidP="00414E8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4"/>
                <w:lang w:val="nl-NL"/>
              </w:rPr>
            </w:pPr>
            <w:r>
              <w:rPr>
                <w:b/>
                <w:bCs/>
                <w:color w:val="000000" w:themeColor="text1"/>
                <w:sz w:val="30"/>
                <w:szCs w:val="24"/>
                <w:lang w:val="nl-NL"/>
              </w:rPr>
              <w:t>Nguyễn Thị Tình</w:t>
            </w:r>
          </w:p>
        </w:tc>
      </w:tr>
      <w:tr w:rsidR="00414E8E" w:rsidRPr="005A4D3E" w:rsidTr="00887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5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E8E" w:rsidRPr="005A4D3E" w:rsidRDefault="00414E8E" w:rsidP="00414E8E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E8E" w:rsidRPr="005A4D3E" w:rsidRDefault="00414E8E" w:rsidP="00ED2AED">
            <w:pPr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142478" w:rsidRDefault="00142478" w:rsidP="00FC39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21" w:type="dxa"/>
        <w:tblInd w:w="-90" w:type="dxa"/>
        <w:tblLook w:val="04A0" w:firstRow="1" w:lastRow="0" w:firstColumn="1" w:lastColumn="0" w:noHBand="0" w:noVBand="1"/>
      </w:tblPr>
      <w:tblGrid>
        <w:gridCol w:w="4820"/>
        <w:gridCol w:w="5301"/>
      </w:tblGrid>
      <w:tr w:rsidR="00142478" w:rsidRPr="00142478" w:rsidTr="00C25FAB">
        <w:tc>
          <w:tcPr>
            <w:tcW w:w="4820" w:type="dxa"/>
            <w:hideMark/>
          </w:tcPr>
          <w:p w:rsidR="00142478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24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UBND QUẬN LONG BIÊN</w:t>
            </w:r>
          </w:p>
          <w:p w:rsidR="00142478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TRƯỜNG </w:t>
            </w:r>
            <w:r w:rsidR="00AB32F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MẦM NON TUỔI HOA</w:t>
            </w:r>
          </w:p>
          <w:p w:rsidR="00142478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247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3EA13F" wp14:editId="69BCCB52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34290</wp:posOffset>
                      </wp:positionV>
                      <wp:extent cx="1295400" cy="0"/>
                      <wp:effectExtent l="0" t="0" r="190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65.7pt;margin-top:2.7pt;width:10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Yn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McsXsyIF5e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"/>
                  </w:pict>
                </mc:Fallback>
              </mc:AlternateContent>
            </w:r>
          </w:p>
          <w:p w:rsidR="00142478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1" w:type="dxa"/>
          </w:tcPr>
          <w:p w:rsidR="00142478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CỘNG HOÀ XÃ HỘI CHỦ NGHĨA VIỆT NAM</w:t>
            </w:r>
          </w:p>
          <w:p w:rsidR="00142478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247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:rsidR="00142478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142478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0F60A" wp14:editId="0D7B8AAB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51435</wp:posOffset>
                      </wp:positionV>
                      <wp:extent cx="2009775" cy="0"/>
                      <wp:effectExtent l="0" t="0" r="9525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46.65pt;margin-top:4.05pt;width:15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qO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"/>
                  </w:pict>
                </mc:Fallback>
              </mc:AlternateContent>
            </w:r>
          </w:p>
          <w:p w:rsidR="00142478" w:rsidRPr="00142478" w:rsidRDefault="00142478" w:rsidP="0014247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"/>
                <w:szCs w:val="28"/>
              </w:rPr>
            </w:pPr>
          </w:p>
        </w:tc>
      </w:tr>
    </w:tbl>
    <w:p w:rsidR="00142478" w:rsidRPr="00142478" w:rsidRDefault="00142478" w:rsidP="0014247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"/>
          <w:szCs w:val="28"/>
        </w:rPr>
      </w:pPr>
    </w:p>
    <w:p w:rsidR="008871ED" w:rsidRPr="00142478" w:rsidRDefault="008871ED" w:rsidP="0014247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QUY CHẾ QUẢN LÝ VÀ SỬ DỤNG QUỸ PHÚC LỢI </w:t>
      </w:r>
    </w:p>
    <w:p w:rsidR="00414E8E" w:rsidRPr="00142478" w:rsidRDefault="008871ED" w:rsidP="0014247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NĂM HỌC </w:t>
      </w:r>
      <w:r w:rsidR="00854CFC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2919E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="00142478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4CFC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r w:rsidR="00142478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4CFC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2919E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</w:p>
    <w:p w:rsidR="00FC3905" w:rsidRPr="00142478" w:rsidRDefault="008871ED" w:rsidP="00142478">
      <w:pPr>
        <w:spacing w:after="0" w:line="288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(Ban </w:t>
      </w:r>
      <w:proofErr w:type="spellStart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hành</w:t>
      </w:r>
      <w:proofErr w:type="spellEnd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kèm</w:t>
      </w:r>
      <w:proofErr w:type="spellEnd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theo</w:t>
      </w:r>
      <w:proofErr w:type="spellEnd"/>
      <w:proofErr w:type="gramEnd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QĐ </w:t>
      </w:r>
      <w:proofErr w:type="spellStart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="00983605"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42478"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54CFC"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/QĐ-MN</w:t>
      </w:r>
      <w:r w:rsidR="00AB32F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</w:t>
      </w:r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ngày</w:t>
      </w:r>
      <w:proofErr w:type="spellEnd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54CFC"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42478"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tháng</w:t>
      </w:r>
      <w:proofErr w:type="spellEnd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C3905"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10 </w:t>
      </w:r>
      <w:proofErr w:type="spellStart"/>
      <w:r w:rsidR="00854CFC"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 w:rsidR="00854CFC"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202</w:t>
      </w:r>
      <w:r w:rsidR="002919E6"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4</w:t>
      </w:r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871ED" w:rsidRPr="00142478" w:rsidRDefault="008871ED" w:rsidP="00142478">
      <w:pPr>
        <w:spacing w:after="0" w:line="288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proofErr w:type="gramEnd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Trường</w:t>
      </w:r>
      <w:proofErr w:type="spellEnd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MN </w:t>
      </w:r>
      <w:proofErr w:type="spellStart"/>
      <w:r w:rsidR="00AB32F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Tuổi</w:t>
      </w:r>
      <w:proofErr w:type="spellEnd"/>
      <w:r w:rsidR="00AB32F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B32F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Hoa</w:t>
      </w:r>
      <w:proofErr w:type="spellEnd"/>
      <w:r w:rsidRPr="0014247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)</w:t>
      </w:r>
    </w:p>
    <w:p w:rsidR="00FC3905" w:rsidRPr="00142478" w:rsidRDefault="00FC3905" w:rsidP="0014247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A4D3E" w:rsidRPr="00142478" w:rsidRDefault="005A4D3E" w:rsidP="00142478">
      <w:pPr>
        <w:spacing w:after="0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Chương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I</w:t>
      </w:r>
    </w:p>
    <w:p w:rsidR="005A4D3E" w:rsidRPr="00142478" w:rsidRDefault="005A4D3E" w:rsidP="0014247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NHỮNG QUY ĐỊNH CHUNG</w:t>
      </w:r>
    </w:p>
    <w:p w:rsidR="005A4D3E" w:rsidRPr="00142478" w:rsidRDefault="005A4D3E" w:rsidP="00142478">
      <w:pPr>
        <w:spacing w:after="0" w:line="288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A4D3E" w:rsidRPr="00142478" w:rsidRDefault="005A4D3E" w:rsidP="00142478">
      <w:pPr>
        <w:shd w:val="clear" w:color="auto" w:fill="FFFFFF"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Điều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1.</w:t>
      </w:r>
      <w:proofErr w:type="gram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Phạm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</w:t>
      </w:r>
      <w:proofErr w:type="gram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đối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tượng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áp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dụng</w:t>
      </w:r>
      <w:proofErr w:type="spellEnd"/>
    </w:p>
    <w:p w:rsidR="005A4D3E" w:rsidRPr="00142478" w:rsidRDefault="005A4D3E" w:rsidP="00142478">
      <w:pPr>
        <w:spacing w:after="0" w:line="288" w:lineRule="auto"/>
        <w:ind w:firstLine="426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Phạm</w:t>
      </w:r>
      <w:proofErr w:type="spellEnd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vi</w:t>
      </w:r>
      <w:proofErr w:type="gramEnd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áp</w:t>
      </w:r>
      <w:proofErr w:type="spellEnd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dụng</w:t>
      </w:r>
      <w:proofErr w:type="spellEnd"/>
    </w:p>
    <w:p w:rsidR="005A4D3E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Quỹ</w:t>
      </w:r>
      <w:proofErr w:type="spellEnd"/>
      <w:r w:rsidR="00214D01"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4D01"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="00214D01"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4D01"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</w:t>
      </w:r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ợi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tạ</w:t>
      </w:r>
      <w:r w:rsidR="00214D01"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214D01"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4D01"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</w:t>
      </w:r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rường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mầm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non </w:t>
      </w:r>
      <w:proofErr w:type="spellStart"/>
      <w:r w:rsidR="005C45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="005C45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A4D3E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Đối</w:t>
      </w:r>
      <w:proofErr w:type="spellEnd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tượng</w:t>
      </w:r>
      <w:proofErr w:type="spellEnd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áp</w:t>
      </w:r>
      <w:proofErr w:type="spellEnd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dụng</w:t>
      </w:r>
      <w:proofErr w:type="spellEnd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A4D3E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2.1. </w:t>
      </w:r>
      <w:proofErr w:type="spellStart"/>
      <w:r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Đối</w:t>
      </w:r>
      <w:proofErr w:type="spellEnd"/>
      <w:r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</w:t>
      </w:r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ượng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được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hưởng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từ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quỹ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phúc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lợi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làm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việc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12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tháng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trở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lên</w:t>
      </w:r>
      <w:proofErr w:type="spellEnd"/>
      <w:r w:rsidR="00066D39" w:rsidRPr="001424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;</w:t>
      </w:r>
    </w:p>
    <w:p w:rsidR="005A4D3E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CBGVNV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066D3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66D3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066D3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066D3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NĐ 161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147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</w:t>
      </w:r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ong</w:t>
      </w:r>
      <w:proofErr w:type="spellEnd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biên</w:t>
      </w:r>
      <w:proofErr w:type="spellEnd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414E8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5A4D3E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2.2. </w:t>
      </w:r>
      <w:proofErr w:type="spellStart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Đối</w:t>
      </w:r>
      <w:proofErr w:type="spellEnd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tượng</w:t>
      </w:r>
      <w:proofErr w:type="spellEnd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hưởng</w:t>
      </w:r>
      <w:proofErr w:type="spellEnd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quỹ</w:t>
      </w:r>
      <w:proofErr w:type="spellEnd"/>
      <w:r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phúc</w:t>
      </w:r>
      <w:proofErr w:type="spellEnd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lợi</w:t>
      </w:r>
      <w:proofErr w:type="spellEnd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chưa</w:t>
      </w:r>
      <w:proofErr w:type="spellEnd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đủ</w:t>
      </w:r>
      <w:proofErr w:type="spellEnd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12</w:t>
      </w:r>
      <w:r w:rsidR="00E15BAE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E15BAE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tháng</w:t>
      </w:r>
      <w:proofErr w:type="spellEnd"/>
      <w:r w:rsidR="00066D39" w:rsidRPr="001424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:rsidR="002567A3" w:rsidRPr="00142478" w:rsidRDefault="002567A3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CBGVNV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</w:t>
      </w:r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ức</w:t>
      </w:r>
      <w:proofErr w:type="spellEnd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854CF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NĐ 11</w:t>
      </w:r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biên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5A4D3E" w:rsidRPr="00142478" w:rsidRDefault="002567A3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 </w:t>
      </w:r>
      <w:proofErr w:type="spellStart"/>
      <w:proofErr w:type="gram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proofErr w:type="gram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ưởng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50%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tùy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77213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A4D3E" w:rsidRPr="00142478" w:rsidRDefault="005A4D3E" w:rsidP="00142478">
      <w:pPr>
        <w:shd w:val="clear" w:color="auto" w:fill="FFFFFF"/>
        <w:spacing w:after="0" w:line="288" w:lineRule="auto"/>
        <w:ind w:firstLine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Điều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2.</w:t>
      </w:r>
      <w:proofErr w:type="gram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Nguyên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tắc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quản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lý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sử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dụng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quỹ</w:t>
      </w:r>
      <w:proofErr w:type="spellEnd"/>
    </w:p>
    <w:p w:rsidR="00AE0247" w:rsidRPr="00142478" w:rsidRDefault="00AE0247" w:rsidP="00142478">
      <w:pPr>
        <w:shd w:val="clear" w:color="auto" w:fill="FFFFFF"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Quỹ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tắc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E0247" w:rsidRPr="00142478" w:rsidRDefault="00AE0247" w:rsidP="00142478">
      <w:pPr>
        <w:pStyle w:val="ListParagraph"/>
        <w:numPr>
          <w:ilvl w:val="0"/>
          <w:numId w:val="7"/>
        </w:numPr>
        <w:shd w:val="clear" w:color="auto" w:fill="FFFFFF"/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Quỹ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proofErr w:type="gram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….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quỹ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25F2" w:rsidRPr="00142478" w:rsidRDefault="004725F2" w:rsidP="00142478">
      <w:pPr>
        <w:pStyle w:val="ListParagraph"/>
        <w:numPr>
          <w:ilvl w:val="0"/>
          <w:numId w:val="7"/>
        </w:numPr>
        <w:shd w:val="clear" w:color="auto" w:fill="FFFFFF"/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Quỹ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proofErr w:type="gram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chênh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lệch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CBVC &amp; NV 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phấn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vượt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C61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67A3" w:rsidRPr="00142478" w:rsidRDefault="002567A3" w:rsidP="00142478">
      <w:pPr>
        <w:pStyle w:val="ListParagraph"/>
        <w:numPr>
          <w:ilvl w:val="0"/>
          <w:numId w:val="7"/>
        </w:numPr>
        <w:shd w:val="clear" w:color="auto" w:fill="FFFFFF"/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Hiệu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chi.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61B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67A3" w:rsidRPr="00142478" w:rsidRDefault="00D73B17" w:rsidP="00142478">
      <w:pPr>
        <w:shd w:val="clear" w:color="auto" w:fill="FFFFFF"/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trích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quỹ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67A3" w:rsidRPr="00142478" w:rsidRDefault="002567A3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741E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C1CBD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44741E"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CHƯƠNG II</w:t>
      </w:r>
    </w:p>
    <w:p w:rsidR="0044741E" w:rsidRPr="00142478" w:rsidRDefault="0044741E" w:rsidP="00142478">
      <w:pPr>
        <w:shd w:val="clear" w:color="auto" w:fill="FFFFFF"/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NGUỒN HÌNH THÀNH VÀ SỬ DỤNG QUỸ PHÚC LỢI</w:t>
      </w:r>
    </w:p>
    <w:p w:rsidR="005A4D3E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Điề</w:t>
      </w:r>
      <w:r w:rsidR="00DE1B34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u</w:t>
      </w:r>
      <w:proofErr w:type="spellEnd"/>
      <w:r w:rsidR="00DE1B34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Nguồn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hình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thành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="007B55F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 w:rsidR="007B55F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đích</w:t>
      </w:r>
      <w:proofErr w:type="spellEnd"/>
      <w:r w:rsidR="007B55F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sử</w:t>
      </w:r>
      <w:proofErr w:type="spellEnd"/>
      <w:r w:rsidR="007B55F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dụng</w:t>
      </w:r>
      <w:proofErr w:type="spellEnd"/>
    </w:p>
    <w:p w:rsidR="002567A3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Quỹ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quỹ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khen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="002567A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567A3" w:rsidRPr="00142478" w:rsidRDefault="002567A3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1.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Ngân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sách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do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nhà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nước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cấp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và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nguồn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học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phí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tại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đơn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vị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Tùy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theo</w:t>
      </w:r>
      <w:proofErr w:type="spellEnd"/>
      <w:proofErr w:type="gram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tình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hình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tài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chính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thực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tế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tại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đơn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vị</w:t>
      </w:r>
      <w:proofErr w:type="spellEnd"/>
      <w:r w:rsidR="00854CFC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</w:p>
    <w:p w:rsidR="002567A3" w:rsidRPr="00142478" w:rsidRDefault="002567A3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tết</w:t>
      </w:r>
      <w:proofErr w:type="spellEnd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phóng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MN</w:t>
      </w:r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30/4</w:t>
      </w:r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1/5</w:t>
      </w:r>
      <w:r w:rsidR="008E5AF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iỗ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10/3,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khánh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2/9,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ết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E1B3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VN</w:t>
      </w:r>
      <w:r w:rsidR="00DE1B3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20/11, </w:t>
      </w:r>
      <w:proofErr w:type="spellStart"/>
      <w:r w:rsidR="00DE1B3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DE1B3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1B3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tết</w:t>
      </w:r>
      <w:proofErr w:type="spellEnd"/>
      <w:r w:rsidR="00DE1B3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1B3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567A3" w:rsidRPr="00142478" w:rsidRDefault="002567A3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</w:t>
      </w:r>
    </w:p>
    <w:p w:rsidR="00447648" w:rsidRPr="00142478" w:rsidRDefault="008538EA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</w:t>
      </w:r>
      <w:r w:rsidR="00447648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="00447648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Quỹ</w:t>
      </w:r>
      <w:proofErr w:type="spellEnd"/>
      <w:r w:rsidR="00447648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công</w:t>
      </w:r>
      <w:proofErr w:type="spellEnd"/>
      <w:r w:rsidR="00447648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đoàn</w:t>
      </w:r>
      <w:proofErr w:type="spellEnd"/>
    </w:p>
    <w:p w:rsidR="00447648" w:rsidRPr="00142478" w:rsidRDefault="00447648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chồng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vợ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47648" w:rsidRPr="00142478" w:rsidRDefault="00447648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Mừng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hỷ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</w:p>
    <w:p w:rsidR="00447648" w:rsidRPr="00142478" w:rsidRDefault="00447648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hiếu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chồng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vợ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</w:p>
    <w:p w:rsidR="00447648" w:rsidRPr="00142478" w:rsidRDefault="00447648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nghỉ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55F6" w:rsidRPr="00142478" w:rsidRDefault="007B55F6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Điều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4DC0"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Phân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phối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quỹ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phúc</w:t>
      </w:r>
      <w:proofErr w:type="spellEnd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lợi</w:t>
      </w:r>
      <w:proofErr w:type="spellEnd"/>
    </w:p>
    <w:p w:rsidR="007B55F6" w:rsidRPr="00142478" w:rsidRDefault="007B55F6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1.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Quỹ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phúc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lợi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trích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từ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ngân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sách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nhà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nước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và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học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phí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được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phân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chia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như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sau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7B55F6" w:rsidRPr="00142478" w:rsidRDefault="007B55F6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="0010541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="0010541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41C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trích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trích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mưu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Ban </w:t>
      </w:r>
      <w:proofErr w:type="spellStart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52BB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434FC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55F6" w:rsidRPr="00142478" w:rsidRDefault="005533DA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2.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Quỹ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phúc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lợi</w:t>
      </w:r>
      <w:proofErr w:type="spellEnd"/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được</w:t>
      </w:r>
      <w:proofErr w:type="spellEnd"/>
      <w:proofErr w:type="gram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sử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dụng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như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sau</w:t>
      </w:r>
      <w:proofErr w:type="spellEnd"/>
      <w:r w:rsidR="007B55F6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B55F6" w:rsidRPr="00142478" w:rsidRDefault="007B55F6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33DA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hi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="009A701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A701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ết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</w:t>
      </w:r>
      <w:r w:rsidR="009A701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7B55F6" w:rsidRPr="00142478" w:rsidRDefault="00614232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</w:t>
      </w:r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Quỹ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phúc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lợi</w:t>
      </w:r>
      <w:proofErr w:type="spellEnd"/>
      <w:r w:rsidR="008719D4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719D4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tập</w:t>
      </w:r>
      <w:proofErr w:type="spellEnd"/>
      <w:r w:rsidR="008719D4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719D4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thể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được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sử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dụng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như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sau</w:t>
      </w:r>
      <w:proofErr w:type="spellEnd"/>
      <w:r w:rsidR="007B55F6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:  </w:t>
      </w:r>
    </w:p>
    <w:p w:rsidR="007B55F6" w:rsidRPr="00142478" w:rsidRDefault="007B55F6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19D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hi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đám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hiếu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hỷ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64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proofErr w:type="gramStart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proofErr w:type="gramEnd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61423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94782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Điều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41234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DC6F43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C6F43"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Mức</w:t>
      </w:r>
      <w:proofErr w:type="spellEnd"/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chi</w:t>
      </w:r>
    </w:p>
    <w:p w:rsidR="00494782" w:rsidRPr="00142478" w:rsidRDefault="00494782" w:rsidP="00142478">
      <w:pPr>
        <w:pStyle w:val="ListParagraph"/>
        <w:spacing w:after="0" w:line="288" w:lineRule="auto"/>
        <w:ind w:left="0" w:firstLine="426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1.</w:t>
      </w:r>
      <w:r w:rsidR="00DC6F43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A4D3E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vi-VN"/>
        </w:rPr>
        <w:t>Chi các ngày lễ, Tết trong năm</w:t>
      </w:r>
      <w:r w:rsidR="005A4D3E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: </w:t>
      </w:r>
    </w:p>
    <w:p w:rsidR="005A4D3E" w:rsidRPr="00142478" w:rsidRDefault="005A4D3E" w:rsidP="00142478">
      <w:pPr>
        <w:spacing w:after="0" w:line="288" w:lineRule="auto"/>
        <w:ind w:firstLine="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Chi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</w:t>
      </w:r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ể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proofErr w:type="gram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49478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A4D3E" w:rsidRPr="00142478" w:rsidRDefault="00494782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Tết Dương lịch, giỗ tổ Hùng Vương</w:t>
      </w:r>
      <w:r w:rsidR="0064376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30/4</w:t>
      </w:r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76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64376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64376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1/5</w:t>
      </w:r>
      <w:r w:rsidR="00643769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2/9: 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chi theo số lượng CB, GV, NV thực tế, mức chi: </w:t>
      </w:r>
      <w:r w:rsidR="006B305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00.000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</w:t>
      </w:r>
      <w:r w:rsidR="006B305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12C41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6B305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00.000đ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ườ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(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proofErr w:type="gram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thử việc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h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ưở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50%)</w:t>
      </w:r>
    </w:p>
    <w:p w:rsidR="005A4D3E" w:rsidRPr="00142478" w:rsidRDefault="00494782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 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nhân ngày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20/11, 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Tết </w:t>
      </w:r>
      <w:proofErr w:type="spellStart"/>
      <w:r w:rsidR="005E078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="005E078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0788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chi t</w:t>
      </w:r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heo số lượng CB, GV, NV thực tế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, mức chi: không quá </w:t>
      </w:r>
      <w:r w:rsidR="006B305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6B3054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00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.000đ</w:t>
      </w:r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/người </w:t>
      </w:r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giáo viên, nhân </w:t>
      </w:r>
      <w:proofErr w:type="gram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viên  tập</w:t>
      </w:r>
      <w:proofErr w:type="gram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sự, thử việc: hưởng 50%)</w:t>
      </w:r>
    </w:p>
    <w:p w:rsidR="005A4D3E" w:rsidRPr="00142478" w:rsidRDefault="00494782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-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 xml:space="preserve"> Chi 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khám sức khỏe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 xml:space="preserve"> cho CBGVNV: 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chi theo số lượng CB, GV, NV thực tế, mức chi: không quá </w:t>
      </w:r>
      <w:r w:rsidR="00B12C41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 xml:space="preserve"> 4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00.000</w:t>
      </w:r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đ/người.</w:t>
      </w:r>
    </w:p>
    <w:p w:rsidR="00494782" w:rsidRPr="00142478" w:rsidRDefault="006B3054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</w:t>
      </w:r>
      <w:r w:rsidR="00494782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Chi </w:t>
      </w:r>
      <w:proofErr w:type="spellStart"/>
      <w:r w:rsidR="00494782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khác</w:t>
      </w:r>
      <w:proofErr w:type="spellEnd"/>
      <w:r w:rsidR="00494782" w:rsidRPr="001424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494782" w:rsidRPr="00142478" w:rsidRDefault="00494782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Thăm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chồng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vợ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mổ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xẻ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2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00.000đ/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4782" w:rsidRPr="00142478" w:rsidRDefault="00494782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Chi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</w:t>
      </w:r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ám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hỷ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2</w:t>
      </w: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00.000đ/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</w:p>
    <w:p w:rsidR="00494782" w:rsidRPr="00142478" w:rsidRDefault="00B52532" w:rsidP="00142478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Chi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đám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hiếu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FC3905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CBGVNV, </w:t>
      </w:r>
      <w:proofErr w:type="spellStart"/>
      <w:r w:rsidR="0049478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hồng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vợ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="005C4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2</w:t>
      </w:r>
      <w:r w:rsidR="0049478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00.000đ/</w:t>
      </w:r>
      <w:proofErr w:type="spellStart"/>
      <w:r w:rsidR="0049478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DC6F43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42478" w:rsidRPr="00142478" w:rsidRDefault="00142478" w:rsidP="00142478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4D3E" w:rsidRPr="00142478" w:rsidRDefault="00320143" w:rsidP="00142478">
      <w:pPr>
        <w:spacing w:after="0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Chương</w:t>
      </w:r>
      <w:proofErr w:type="spellEnd"/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III</w:t>
      </w:r>
    </w:p>
    <w:p w:rsidR="005A4D3E" w:rsidRPr="00142478" w:rsidRDefault="005A4D3E" w:rsidP="00142478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TỔ CHỨC THỰC HIỆN</w:t>
      </w:r>
    </w:p>
    <w:p w:rsidR="005A4D3E" w:rsidRPr="00142478" w:rsidRDefault="005A4D3E" w:rsidP="00142478">
      <w:pPr>
        <w:tabs>
          <w:tab w:val="left" w:pos="709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:rsidR="005A4D3E" w:rsidRPr="00142478" w:rsidRDefault="005A4D3E" w:rsidP="00142478">
      <w:pPr>
        <w:tabs>
          <w:tab w:val="left" w:pos="709"/>
        </w:tabs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proofErr w:type="gram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6802DF" w:rsidRPr="00142478" w:rsidRDefault="006802DF" w:rsidP="00142478">
      <w:pPr>
        <w:tabs>
          <w:tab w:val="left" w:pos="709"/>
        </w:tabs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BCH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CBGVNV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khoản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320143"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1424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4E8E" w:rsidRPr="00142478" w:rsidRDefault="00582E30" w:rsidP="00142478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Ban</w:t>
      </w:r>
      <w:r w:rsidR="0049478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478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="0049478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478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494782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5A4D3E" w:rsidRPr="0014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802DF" w:rsidRPr="00142478" w:rsidRDefault="006802DF" w:rsidP="00142478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42478">
        <w:rPr>
          <w:color w:val="000000" w:themeColor="text1"/>
          <w:sz w:val="28"/>
          <w:szCs w:val="28"/>
        </w:rPr>
        <w:t>Trong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quá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trình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triển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khai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thực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hiện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Quy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chế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sẽ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được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sửa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đổi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bổ</w:t>
      </w:r>
      <w:proofErr w:type="spellEnd"/>
      <w:r w:rsidRPr="00142478">
        <w:rPr>
          <w:color w:val="000000" w:themeColor="text1"/>
          <w:sz w:val="28"/>
          <w:szCs w:val="28"/>
        </w:rPr>
        <w:t xml:space="preserve"> sung </w:t>
      </w:r>
      <w:proofErr w:type="spellStart"/>
      <w:r w:rsidRPr="00142478">
        <w:rPr>
          <w:color w:val="000000" w:themeColor="text1"/>
          <w:sz w:val="28"/>
          <w:szCs w:val="28"/>
        </w:rPr>
        <w:t>cho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phù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hợp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với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tình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hình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thực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tế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và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các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quy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định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của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pháp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luật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hiện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hành</w:t>
      </w:r>
      <w:proofErr w:type="spellEnd"/>
      <w:r w:rsidRPr="00142478">
        <w:rPr>
          <w:color w:val="000000" w:themeColor="text1"/>
          <w:sz w:val="28"/>
          <w:szCs w:val="28"/>
        </w:rPr>
        <w:t xml:space="preserve">. </w:t>
      </w:r>
      <w:proofErr w:type="spellStart"/>
      <w:r w:rsidRPr="00142478">
        <w:rPr>
          <w:color w:val="000000" w:themeColor="text1"/>
          <w:sz w:val="28"/>
          <w:szCs w:val="28"/>
        </w:rPr>
        <w:t>Trên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cơ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sở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đề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nghị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bằng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văn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bản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của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Công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đoàn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nhà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trường</w:t>
      </w:r>
      <w:proofErr w:type="spellEnd"/>
      <w:r w:rsidRPr="00142478">
        <w:rPr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color w:val="000000" w:themeColor="text1"/>
          <w:sz w:val="28"/>
          <w:szCs w:val="28"/>
        </w:rPr>
        <w:t>Hiệu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trưởng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xem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xét</w:t>
      </w:r>
      <w:proofErr w:type="spellEnd"/>
      <w:r w:rsidRPr="00142478">
        <w:rPr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color w:val="000000" w:themeColor="text1"/>
          <w:sz w:val="28"/>
          <w:szCs w:val="28"/>
        </w:rPr>
        <w:t>sửa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đổi</w:t>
      </w:r>
      <w:proofErr w:type="spellEnd"/>
      <w:r w:rsidRPr="00142478">
        <w:rPr>
          <w:color w:val="000000" w:themeColor="text1"/>
          <w:sz w:val="28"/>
          <w:szCs w:val="28"/>
        </w:rPr>
        <w:t xml:space="preserve">, </w:t>
      </w:r>
      <w:proofErr w:type="spellStart"/>
      <w:r w:rsidRPr="00142478">
        <w:rPr>
          <w:color w:val="000000" w:themeColor="text1"/>
          <w:sz w:val="28"/>
          <w:szCs w:val="28"/>
        </w:rPr>
        <w:t>bổ</w:t>
      </w:r>
      <w:proofErr w:type="spellEnd"/>
      <w:r w:rsidRPr="00142478">
        <w:rPr>
          <w:color w:val="000000" w:themeColor="text1"/>
          <w:sz w:val="28"/>
          <w:szCs w:val="28"/>
        </w:rPr>
        <w:t xml:space="preserve"> sung </w:t>
      </w:r>
      <w:proofErr w:type="spellStart"/>
      <w:r w:rsidRPr="00142478">
        <w:rPr>
          <w:color w:val="000000" w:themeColor="text1"/>
          <w:sz w:val="28"/>
          <w:szCs w:val="28"/>
        </w:rPr>
        <w:t>nội</w:t>
      </w:r>
      <w:proofErr w:type="spellEnd"/>
      <w:r w:rsidRPr="00142478">
        <w:rPr>
          <w:color w:val="000000" w:themeColor="text1"/>
          <w:sz w:val="28"/>
          <w:szCs w:val="28"/>
        </w:rPr>
        <w:t xml:space="preserve"> dung </w:t>
      </w:r>
      <w:proofErr w:type="spellStart"/>
      <w:r w:rsidRPr="00142478">
        <w:rPr>
          <w:color w:val="000000" w:themeColor="text1"/>
          <w:sz w:val="28"/>
          <w:szCs w:val="28"/>
        </w:rPr>
        <w:t>của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Quy</w:t>
      </w:r>
      <w:proofErr w:type="spellEnd"/>
      <w:r w:rsidRPr="00142478">
        <w:rPr>
          <w:color w:val="000000" w:themeColor="text1"/>
          <w:sz w:val="28"/>
          <w:szCs w:val="28"/>
        </w:rPr>
        <w:t xml:space="preserve"> </w:t>
      </w:r>
      <w:proofErr w:type="spellStart"/>
      <w:r w:rsidRPr="00142478">
        <w:rPr>
          <w:color w:val="000000" w:themeColor="text1"/>
          <w:sz w:val="28"/>
          <w:szCs w:val="28"/>
        </w:rPr>
        <w:t>chế</w:t>
      </w:r>
      <w:proofErr w:type="spellEnd"/>
      <w:proofErr w:type="gramStart"/>
      <w:r w:rsidRPr="00142478">
        <w:rPr>
          <w:color w:val="000000" w:themeColor="text1"/>
          <w:sz w:val="28"/>
          <w:szCs w:val="28"/>
        </w:rPr>
        <w:t>./</w:t>
      </w:r>
      <w:proofErr w:type="gramEnd"/>
      <w:r w:rsidRPr="00142478">
        <w:rPr>
          <w:color w:val="000000" w:themeColor="text1"/>
          <w:sz w:val="28"/>
          <w:szCs w:val="28"/>
        </w:rPr>
        <w:t>.</w:t>
      </w:r>
    </w:p>
    <w:p w:rsidR="004E0EC4" w:rsidRPr="00414E8E" w:rsidRDefault="004E0EC4" w:rsidP="004E0EC4">
      <w:pPr>
        <w:shd w:val="clear" w:color="auto" w:fill="FFFFFF"/>
        <w:spacing w:before="120"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D3E" w:rsidRDefault="005A4D3E" w:rsidP="004E0EC4">
      <w:pPr>
        <w:spacing w:before="120" w:after="0" w:line="240" w:lineRule="auto"/>
      </w:pPr>
    </w:p>
    <w:sectPr w:rsidR="005A4D3E" w:rsidSect="00142478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D3" w:rsidRDefault="007524D3" w:rsidP="006802DF">
      <w:pPr>
        <w:spacing w:after="0" w:line="240" w:lineRule="auto"/>
      </w:pPr>
      <w:r>
        <w:separator/>
      </w:r>
    </w:p>
  </w:endnote>
  <w:endnote w:type="continuationSeparator" w:id="0">
    <w:p w:rsidR="007524D3" w:rsidRDefault="007524D3" w:rsidP="0068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065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2DF" w:rsidRDefault="006802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5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02DF" w:rsidRDefault="00680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D3" w:rsidRDefault="007524D3" w:rsidP="006802DF">
      <w:pPr>
        <w:spacing w:after="0" w:line="240" w:lineRule="auto"/>
      </w:pPr>
      <w:r>
        <w:separator/>
      </w:r>
    </w:p>
  </w:footnote>
  <w:footnote w:type="continuationSeparator" w:id="0">
    <w:p w:rsidR="007524D3" w:rsidRDefault="007524D3" w:rsidP="0068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845"/>
    <w:multiLevelType w:val="hybridMultilevel"/>
    <w:tmpl w:val="3FEA5DB0"/>
    <w:lvl w:ilvl="0" w:tplc="532AD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02C4E"/>
    <w:multiLevelType w:val="hybridMultilevel"/>
    <w:tmpl w:val="D9761A0A"/>
    <w:lvl w:ilvl="0" w:tplc="21340D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FAF5070"/>
    <w:multiLevelType w:val="hybridMultilevel"/>
    <w:tmpl w:val="BE10121A"/>
    <w:lvl w:ilvl="0" w:tplc="FF6EA852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16D665A"/>
    <w:multiLevelType w:val="hybridMultilevel"/>
    <w:tmpl w:val="1D3038FA"/>
    <w:lvl w:ilvl="0" w:tplc="79540E7C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6C419F"/>
    <w:multiLevelType w:val="hybridMultilevel"/>
    <w:tmpl w:val="4C78EF3E"/>
    <w:lvl w:ilvl="0" w:tplc="64BCF98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4C266CA"/>
    <w:multiLevelType w:val="hybridMultilevel"/>
    <w:tmpl w:val="8F286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B3ECE"/>
    <w:multiLevelType w:val="hybridMultilevel"/>
    <w:tmpl w:val="4E2C3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2358F"/>
    <w:multiLevelType w:val="hybridMultilevel"/>
    <w:tmpl w:val="10E8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3E"/>
    <w:rsid w:val="00066D39"/>
    <w:rsid w:val="000F62B3"/>
    <w:rsid w:val="0010541C"/>
    <w:rsid w:val="00142478"/>
    <w:rsid w:val="0017545E"/>
    <w:rsid w:val="001F705F"/>
    <w:rsid w:val="00214D01"/>
    <w:rsid w:val="0025228A"/>
    <w:rsid w:val="002567A3"/>
    <w:rsid w:val="00265C9C"/>
    <w:rsid w:val="002769A3"/>
    <w:rsid w:val="00277130"/>
    <w:rsid w:val="002919E6"/>
    <w:rsid w:val="002A7F5E"/>
    <w:rsid w:val="00320143"/>
    <w:rsid w:val="00387CB5"/>
    <w:rsid w:val="003B0A6B"/>
    <w:rsid w:val="00414E8E"/>
    <w:rsid w:val="004347EE"/>
    <w:rsid w:val="00434FC3"/>
    <w:rsid w:val="0044741E"/>
    <w:rsid w:val="00447648"/>
    <w:rsid w:val="00452262"/>
    <w:rsid w:val="004725F2"/>
    <w:rsid w:val="004761E8"/>
    <w:rsid w:val="00481D10"/>
    <w:rsid w:val="00494782"/>
    <w:rsid w:val="00497058"/>
    <w:rsid w:val="004C1FFD"/>
    <w:rsid w:val="004E0EC4"/>
    <w:rsid w:val="004F0A15"/>
    <w:rsid w:val="00511475"/>
    <w:rsid w:val="00534C61"/>
    <w:rsid w:val="005533DA"/>
    <w:rsid w:val="00582E30"/>
    <w:rsid w:val="005A4D3E"/>
    <w:rsid w:val="005C2C96"/>
    <w:rsid w:val="005C4537"/>
    <w:rsid w:val="005E0788"/>
    <w:rsid w:val="00614232"/>
    <w:rsid w:val="00617617"/>
    <w:rsid w:val="00643769"/>
    <w:rsid w:val="006802DF"/>
    <w:rsid w:val="006B3054"/>
    <w:rsid w:val="006E75D3"/>
    <w:rsid w:val="00705B5F"/>
    <w:rsid w:val="007524D3"/>
    <w:rsid w:val="00771563"/>
    <w:rsid w:val="00772135"/>
    <w:rsid w:val="007821D5"/>
    <w:rsid w:val="007B55F6"/>
    <w:rsid w:val="007C21E6"/>
    <w:rsid w:val="007C5818"/>
    <w:rsid w:val="007C773A"/>
    <w:rsid w:val="007D00B3"/>
    <w:rsid w:val="007F3404"/>
    <w:rsid w:val="008379AB"/>
    <w:rsid w:val="00852121"/>
    <w:rsid w:val="008538EA"/>
    <w:rsid w:val="00854CFC"/>
    <w:rsid w:val="00861E1B"/>
    <w:rsid w:val="008719D4"/>
    <w:rsid w:val="00880E9D"/>
    <w:rsid w:val="008871ED"/>
    <w:rsid w:val="008B6D12"/>
    <w:rsid w:val="008E5AF4"/>
    <w:rsid w:val="008F44F1"/>
    <w:rsid w:val="008F4E6F"/>
    <w:rsid w:val="00983605"/>
    <w:rsid w:val="00984FD9"/>
    <w:rsid w:val="009A7014"/>
    <w:rsid w:val="009B0DFF"/>
    <w:rsid w:val="009D06A6"/>
    <w:rsid w:val="009E2A16"/>
    <w:rsid w:val="009F3B26"/>
    <w:rsid w:val="00A14DC0"/>
    <w:rsid w:val="00A5126A"/>
    <w:rsid w:val="00A85614"/>
    <w:rsid w:val="00A8660A"/>
    <w:rsid w:val="00A970D3"/>
    <w:rsid w:val="00AB32F2"/>
    <w:rsid w:val="00AE0247"/>
    <w:rsid w:val="00B12C41"/>
    <w:rsid w:val="00B30026"/>
    <w:rsid w:val="00B52532"/>
    <w:rsid w:val="00B875C0"/>
    <w:rsid w:val="00BB39EC"/>
    <w:rsid w:val="00CC1CBD"/>
    <w:rsid w:val="00CE7ED6"/>
    <w:rsid w:val="00D41234"/>
    <w:rsid w:val="00D55CF7"/>
    <w:rsid w:val="00D708E6"/>
    <w:rsid w:val="00D73B17"/>
    <w:rsid w:val="00D904A2"/>
    <w:rsid w:val="00DC6F43"/>
    <w:rsid w:val="00DE1B34"/>
    <w:rsid w:val="00DF206B"/>
    <w:rsid w:val="00E10107"/>
    <w:rsid w:val="00E15BAE"/>
    <w:rsid w:val="00E53A80"/>
    <w:rsid w:val="00EA61B3"/>
    <w:rsid w:val="00F752BB"/>
    <w:rsid w:val="00FC3905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648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68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2DF"/>
  </w:style>
  <w:style w:type="paragraph" w:styleId="Footer">
    <w:name w:val="footer"/>
    <w:basedOn w:val="Normal"/>
    <w:link w:val="FooterChar"/>
    <w:uiPriority w:val="99"/>
    <w:unhideWhenUsed/>
    <w:rsid w:val="0068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2DF"/>
  </w:style>
  <w:style w:type="table" w:styleId="TableGrid">
    <w:name w:val="Table Grid"/>
    <w:basedOn w:val="TableNormal"/>
    <w:rsid w:val="0041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648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68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2DF"/>
  </w:style>
  <w:style w:type="paragraph" w:styleId="Footer">
    <w:name w:val="footer"/>
    <w:basedOn w:val="Normal"/>
    <w:link w:val="FooterChar"/>
    <w:uiPriority w:val="99"/>
    <w:unhideWhenUsed/>
    <w:rsid w:val="0068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2DF"/>
  </w:style>
  <w:style w:type="table" w:styleId="TableGrid">
    <w:name w:val="Table Grid"/>
    <w:basedOn w:val="TableNormal"/>
    <w:rsid w:val="0041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068E-A3B0-4547-AB5D-1CCE20D2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msgiangle@outlook.com</dc:creator>
  <cp:keywords/>
  <dc:description/>
  <cp:lastModifiedBy>AutoBVT</cp:lastModifiedBy>
  <cp:revision>89</cp:revision>
  <cp:lastPrinted>2024-10-12T08:47:00Z</cp:lastPrinted>
  <dcterms:created xsi:type="dcterms:W3CDTF">2020-10-05T10:22:00Z</dcterms:created>
  <dcterms:modified xsi:type="dcterms:W3CDTF">2024-10-25T01:13:00Z</dcterms:modified>
</cp:coreProperties>
</file>